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deGrade1Clara"/>
        <w:tblW w:w="9919" w:type="dxa"/>
        <w:tblInd w:w="-714" w:type="dxa"/>
        <w:tblLook w:val="04A0" w:firstRow="1" w:lastRow="0" w:firstColumn="1" w:lastColumn="0" w:noHBand="0" w:noVBand="1"/>
      </w:tblPr>
      <w:tblGrid>
        <w:gridCol w:w="1280"/>
        <w:gridCol w:w="3398"/>
        <w:gridCol w:w="5241"/>
      </w:tblGrid>
      <w:tr w:rsidR="0065019B" w:rsidRPr="00673765" w:rsidTr="00650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tcBorders>
              <w:bottom w:val="single" w:sz="12" w:space="0" w:color="666666"/>
            </w:tcBorders>
            <w:shd w:val="clear" w:color="auto" w:fill="auto"/>
          </w:tcPr>
          <w:p w:rsidR="0065019B" w:rsidRDefault="00591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Tipo</w:t>
            </w:r>
          </w:p>
        </w:tc>
        <w:tc>
          <w:tcPr>
            <w:tcW w:w="3398" w:type="dxa"/>
            <w:tcBorders>
              <w:bottom w:val="single" w:sz="12" w:space="0" w:color="666666"/>
            </w:tcBorders>
            <w:shd w:val="clear" w:color="auto" w:fill="auto"/>
          </w:tcPr>
          <w:p w:rsidR="0065019B" w:rsidRDefault="005910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Orientação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geral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41" w:type="dxa"/>
            <w:tcBorders>
              <w:bottom w:val="single" w:sz="12" w:space="0" w:color="666666"/>
            </w:tcBorders>
            <w:shd w:val="clear" w:color="auto" w:fill="D9D9D9" w:themeFill="background1" w:themeFillShade="D9"/>
          </w:tcPr>
          <w:p w:rsidR="0065019B" w:rsidRDefault="005910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Orientação da Matemática/Probabilidade e Estatística</w:t>
            </w:r>
          </w:p>
        </w:tc>
      </w:tr>
      <w:tr w:rsidR="0065019B" w:rsidRPr="00673765" w:rsidTr="00650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9" w:type="dxa"/>
            <w:gridSpan w:val="3"/>
            <w:shd w:val="clear" w:color="auto" w:fill="002060"/>
          </w:tcPr>
          <w:p w:rsidR="0065019B" w:rsidRDefault="005910C2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Produtos destacados por subtipo, para fins de classificação</w:t>
            </w:r>
          </w:p>
        </w:tc>
      </w:tr>
      <w:tr w:rsidR="0065019B" w:rsidRPr="00673765" w:rsidTr="00650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</w:tcPr>
          <w:p w:rsidR="0065019B" w:rsidRDefault="00591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Livros</w:t>
            </w:r>
            <w:proofErr w:type="spellEnd"/>
          </w:p>
        </w:tc>
        <w:tc>
          <w:tcPr>
            <w:tcW w:w="3398" w:type="dxa"/>
            <w:shd w:val="clear" w:color="auto" w:fill="auto"/>
          </w:tcPr>
          <w:p w:rsidR="0065019B" w:rsidRDefault="005910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há</w:t>
            </w:r>
            <w:proofErr w:type="spellEnd"/>
          </w:p>
          <w:p w:rsidR="0065019B" w:rsidRDefault="006501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F2F2F2" w:themeFill="background1" w:themeFillShade="F2"/>
          </w:tcPr>
          <w:p w:rsidR="0065019B" w:rsidRDefault="005910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  <w:t>Em nossa área, a produção de livros tem em geral um caráter didático ou de divulgação. Desta forma, os livros entram como indicativos de engajamento do programa com a formação científica, ou ainda (no caso de publicações internacionais de destaque) de reco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  <w:t xml:space="preserve">nhecimento internacional da atuação profissional dos docentes. </w:t>
            </w:r>
          </w:p>
          <w:p w:rsidR="0065019B" w:rsidRDefault="006501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</w:pPr>
          </w:p>
        </w:tc>
      </w:tr>
      <w:tr w:rsidR="0065019B" w:rsidRPr="00673765" w:rsidTr="00650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</w:tcPr>
          <w:p w:rsidR="0065019B" w:rsidRDefault="00591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Artigos</w:t>
            </w:r>
            <w:proofErr w:type="spellEnd"/>
          </w:p>
        </w:tc>
        <w:tc>
          <w:tcPr>
            <w:tcW w:w="3398" w:type="dxa"/>
            <w:shd w:val="clear" w:color="auto" w:fill="auto"/>
          </w:tcPr>
          <w:p w:rsidR="0065019B" w:rsidRDefault="005910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há</w:t>
            </w:r>
            <w:proofErr w:type="spellEnd"/>
          </w:p>
        </w:tc>
        <w:tc>
          <w:tcPr>
            <w:tcW w:w="5241" w:type="dxa"/>
            <w:shd w:val="clear" w:color="auto" w:fill="F2F2F2" w:themeFill="background1" w:themeFillShade="F2"/>
          </w:tcPr>
          <w:p w:rsidR="00673765" w:rsidRDefault="005910C2" w:rsidP="006737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  <w:t xml:space="preserve">A área focará a avaliação de artigos naqueles listados no item de “produtos por docente permanente”.  </w:t>
            </w:r>
            <w:r w:rsidR="00673765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  <w:t xml:space="preserve">Observe-se que outros produtos técnicos também poderão ser listados neste item. </w:t>
            </w:r>
            <w:r w:rsidR="00673765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  <w:br/>
            </w:r>
          </w:p>
        </w:tc>
      </w:tr>
      <w:tr w:rsidR="0065019B" w:rsidRPr="00673765" w:rsidTr="00650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</w:tcPr>
          <w:p w:rsidR="0065019B" w:rsidRDefault="00591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Teses/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Disertações</w:t>
            </w:r>
            <w:proofErr w:type="spellEnd"/>
          </w:p>
        </w:tc>
        <w:tc>
          <w:tcPr>
            <w:tcW w:w="3398" w:type="dxa"/>
            <w:shd w:val="clear" w:color="auto" w:fill="auto"/>
          </w:tcPr>
          <w:p w:rsidR="0065019B" w:rsidRDefault="005910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Não há</w:t>
            </w:r>
          </w:p>
        </w:tc>
        <w:tc>
          <w:tcPr>
            <w:tcW w:w="5241" w:type="dxa"/>
            <w:shd w:val="clear" w:color="auto" w:fill="F2F2F2" w:themeFill="background1" w:themeFillShade="F2"/>
          </w:tcPr>
          <w:p w:rsidR="0065019B" w:rsidRDefault="005910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  <w:t>A avaliação dos trabalhos de conclusão será f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  <w:t xml:space="preserve">eita de acordo com aderência às linhas de pesquisa e qualidade. A avaliação de aderência será feita por amostragem. A de qualidade será feita a partir de trabalhos selecionados pelo próprio programa ao final do quadriênio, </w:t>
            </w:r>
            <w:r w:rsidR="00673765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  <w:t>no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  <w:t xml:space="preserve"> </w:t>
            </w:r>
            <w:r w:rsidR="00673765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  <w:t>Anexo da ficha de avaliação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  <w:t>. C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  <w:t xml:space="preserve">ada programa deverá listar neste formulário pelo menos 5 trabalhos de conclusão; caso o programa tenha mais de 50 trabalhos de conclusão no período, deverá indicar 10% destes.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  <w:br/>
            </w:r>
          </w:p>
        </w:tc>
      </w:tr>
      <w:tr w:rsidR="0065019B" w:rsidRPr="00673765" w:rsidTr="00650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</w:tcPr>
          <w:p w:rsidR="0065019B" w:rsidRDefault="00591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Produtos técnico-tecnológicos </w:t>
            </w:r>
            <w:r>
              <w:rPr>
                <w:rFonts w:ascii="Times New Roman" w:hAnsi="Times New Roman" w:cs="Times New Roman"/>
                <w:sz w:val="18"/>
                <w:szCs w:val="20"/>
                <w:lang w:val="pt-BR"/>
              </w:rPr>
              <w:t>(Quantos destacados?)</w:t>
            </w:r>
          </w:p>
        </w:tc>
        <w:tc>
          <w:tcPr>
            <w:tcW w:w="3398" w:type="dxa"/>
            <w:shd w:val="clear" w:color="auto" w:fill="auto"/>
          </w:tcPr>
          <w:p w:rsidR="0065019B" w:rsidRDefault="005910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Não há</w:t>
            </w:r>
          </w:p>
        </w:tc>
        <w:tc>
          <w:tcPr>
            <w:tcW w:w="5241" w:type="dxa"/>
            <w:shd w:val="clear" w:color="auto" w:fill="F2F2F2" w:themeFill="background1" w:themeFillShade="F2"/>
          </w:tcPr>
          <w:p w:rsidR="0065019B" w:rsidRDefault="00B579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  <w:t>S</w:t>
            </w:r>
            <w:r w:rsidRPr="00B5798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  <w:t xml:space="preserve">erão analisados de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  <w:t xml:space="preserve">forma </w:t>
            </w:r>
            <w:r w:rsidRPr="00B5798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  <w:t>qualitativa os produtos técnico-tecnológicos na lista fornecida para o item “produtos por docente permanente”. Os tipos a serem considerados estão listados abaixo.</w:t>
            </w:r>
            <w:r w:rsidRPr="00B5798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  <w:t xml:space="preserve"> </w:t>
            </w:r>
          </w:p>
        </w:tc>
      </w:tr>
      <w:tr w:rsidR="0065019B" w:rsidRPr="00673765" w:rsidTr="00650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</w:tcPr>
          <w:p w:rsidR="0065019B" w:rsidRDefault="00591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Produtos técnico-tecnológicos </w:t>
            </w:r>
            <w:r>
              <w:rPr>
                <w:rFonts w:ascii="Times New Roman" w:hAnsi="Times New Roman" w:cs="Times New Roman"/>
                <w:sz w:val="18"/>
                <w:szCs w:val="20"/>
                <w:lang w:val="pt-BR"/>
              </w:rPr>
              <w:t>(Quais tipos destacados?)</w:t>
            </w:r>
          </w:p>
        </w:tc>
        <w:tc>
          <w:tcPr>
            <w:tcW w:w="3398" w:type="dxa"/>
            <w:shd w:val="clear" w:color="auto" w:fill="auto"/>
          </w:tcPr>
          <w:p w:rsidR="0065019B" w:rsidRDefault="005910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Identif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icar até 10, dentre os 21 tipos definidos pelo GT</w:t>
            </w:r>
          </w:p>
          <w:p w:rsidR="0065019B" w:rsidRDefault="006501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241" w:type="dxa"/>
            <w:shd w:val="clear" w:color="auto" w:fill="F2F2F2" w:themeFill="background1" w:themeFillShade="F2"/>
          </w:tcPr>
          <w:p w:rsidR="0065019B" w:rsidRDefault="005910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  <w:t>Os tipos destacados de produção técnica-tecno</w:t>
            </w:r>
            <w:r w:rsidR="00673765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  <w:t>l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  <w:t xml:space="preserve">ógica são: produto bibliográfico, patente, material didático, evento organizado, software/aplicativo (programa de computador) e produto de comunicação. </w:t>
            </w:r>
          </w:p>
        </w:tc>
      </w:tr>
      <w:tr w:rsidR="0065019B" w:rsidRPr="00673765" w:rsidTr="00650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</w:tcPr>
          <w:p w:rsidR="0065019B" w:rsidRDefault="00591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Artístico</w:t>
            </w:r>
            <w:proofErr w:type="spellEnd"/>
          </w:p>
        </w:tc>
        <w:tc>
          <w:tcPr>
            <w:tcW w:w="3398" w:type="dxa"/>
            <w:shd w:val="clear" w:color="auto" w:fill="auto"/>
          </w:tcPr>
          <w:p w:rsidR="0065019B" w:rsidRDefault="005910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há</w:t>
            </w:r>
            <w:proofErr w:type="spellEnd"/>
          </w:p>
        </w:tc>
        <w:tc>
          <w:tcPr>
            <w:tcW w:w="5241" w:type="dxa"/>
            <w:shd w:val="clear" w:color="auto" w:fill="F2F2F2" w:themeFill="background1" w:themeFillShade="F2"/>
          </w:tcPr>
          <w:p w:rsidR="0065019B" w:rsidRDefault="005910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  <w:t>Não avaliaremos esta categoria de produ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  <w:t>ção</w:t>
            </w:r>
            <w:r w:rsidR="00673765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  <w:t>, mas ela poderá ser listada, quando cabível, no campo de “Informações Complementares” da Plataforma Sucupira.</w:t>
            </w:r>
          </w:p>
          <w:p w:rsidR="0065019B" w:rsidRDefault="006501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</w:pPr>
          </w:p>
        </w:tc>
      </w:tr>
      <w:tr w:rsidR="0065019B" w:rsidTr="00650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9" w:type="dxa"/>
            <w:gridSpan w:val="3"/>
            <w:shd w:val="clear" w:color="auto" w:fill="002060"/>
          </w:tcPr>
          <w:p w:rsidR="0065019B" w:rsidRDefault="005910C2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pt-BR"/>
              </w:rPr>
              <w:t>Melhores produtos do quadriênio</w:t>
            </w:r>
          </w:p>
        </w:tc>
      </w:tr>
      <w:tr w:rsidR="0065019B" w:rsidRPr="00673765" w:rsidTr="00650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</w:tcPr>
          <w:p w:rsidR="0065019B" w:rsidRDefault="00591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Produtos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docente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permanente</w:t>
            </w:r>
            <w:proofErr w:type="spellEnd"/>
          </w:p>
        </w:tc>
        <w:tc>
          <w:tcPr>
            <w:tcW w:w="3398" w:type="dxa"/>
            <w:shd w:val="clear" w:color="auto" w:fill="auto"/>
          </w:tcPr>
          <w:p w:rsidR="0065019B" w:rsidRDefault="005910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Até 4 produtos por docente permanente no quadriênio</w:t>
            </w:r>
          </w:p>
          <w:p w:rsidR="0065019B" w:rsidRDefault="005910C2">
            <w:pPr>
              <w:numPr>
                <w:ilvl w:val="0"/>
                <w:numId w:val="1"/>
              </w:numPr>
              <w:tabs>
                <w:tab w:val="left" w:pos="30"/>
                <w:tab w:val="left" w:pos="172"/>
              </w:tabs>
              <w:spacing w:after="0" w:line="240" w:lineRule="auto"/>
              <w:ind w:left="30" w:hanging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Para o cálculo: o número máximo de produtos dependerá do tempo de atuação do docente no programa como permanente (por 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exemplo, se atuou 2 anos como docente permanente, poderá indicar até 2 produtos; se atuou 4 anos, poderá indicar até 4 produtos.</w:t>
            </w:r>
          </w:p>
          <w:p w:rsidR="0065019B" w:rsidRDefault="006501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241" w:type="dxa"/>
            <w:shd w:val="clear" w:color="auto" w:fill="F2F2F2" w:themeFill="background1" w:themeFillShade="F2"/>
          </w:tcPr>
          <w:p w:rsidR="0065019B" w:rsidRDefault="006737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  <w:t>Esta lista será avaliada por critérios quantitativos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  <w:t>bibliométricos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  <w:t xml:space="preserve">) e qualitativos. Para a avaliação qualitativa, cada programa apresentará ao fim do quadriênio, no </w:t>
            </w:r>
            <w:r w:rsidRPr="0067376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lang w:val="pt-BR"/>
              </w:rPr>
              <w:t>Anexo 2.4.2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  <w:t xml:space="preserve">, </w:t>
            </w:r>
            <w:r w:rsidR="005910C2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  <w:t xml:space="preserve">uma </w:t>
            </w:r>
            <w:proofErr w:type="spellStart"/>
            <w:r w:rsidR="005910C2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  <w:t>sublista</w:t>
            </w:r>
            <w:proofErr w:type="spellEnd"/>
            <w:r w:rsidR="005910C2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  <w:t>de</w:t>
            </w:r>
            <w:r w:rsidR="005910C2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  <w:t xml:space="preserve"> produções</w:t>
            </w:r>
            <w:r w:rsidR="005910C2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  <w:t xml:space="preserve"> que poderão vir </w:t>
            </w:r>
            <w:r w:rsidR="005910C2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  <w:t xml:space="preserve">acompanhadas de pequenos textos que as apresentem ou justifiquem. Desta </w:t>
            </w:r>
            <w:proofErr w:type="spellStart"/>
            <w:r w:rsidR="005910C2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  <w:t>sublista</w:t>
            </w:r>
            <w:proofErr w:type="spellEnd"/>
            <w:r w:rsidR="005910C2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  <w:t xml:space="preserve"> constarão entre n/2 e n produtos, onde n é o número de docentes permanentes do programa. Cada docente poderá aparecer como autor de até 3 produtos nesta </w:t>
            </w:r>
            <w:proofErr w:type="spellStart"/>
            <w:r w:rsidR="005910C2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  <w:t>sublista</w:t>
            </w:r>
            <w:proofErr w:type="spellEnd"/>
            <w:r w:rsidR="005910C2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  <w:t xml:space="preserve">. Esta </w:t>
            </w:r>
            <w:proofErr w:type="spellStart"/>
            <w:r w:rsidR="005910C2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  <w:t>sublist</w:t>
            </w:r>
            <w:r w:rsidR="005910C2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  <w:t>a</w:t>
            </w:r>
            <w:proofErr w:type="spellEnd"/>
            <w:r w:rsidR="005910C2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  <w:t xml:space="preserve"> será apreciada pela comissão de avaliação, que lhe atribuirá uma nota levando em conta a qualidade dos veículos (no caso de artigos), a relevância e impacto potencial das produções para as linhas de  pesquisa do programa. Serão glosados os produtos que n</w:t>
            </w:r>
            <w:r w:rsidR="005910C2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  <w:t>ão apresentarem aderência à área MAPE ou às linhas de pesquisa do programa.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  <w:br/>
            </w:r>
          </w:p>
        </w:tc>
      </w:tr>
      <w:tr w:rsidR="0065019B" w:rsidRPr="00673765" w:rsidTr="00650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</w:tcPr>
          <w:p w:rsidR="0065019B" w:rsidRDefault="00591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Produtos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  <w:proofErr w:type="spellEnd"/>
          </w:p>
        </w:tc>
        <w:tc>
          <w:tcPr>
            <w:tcW w:w="3398" w:type="dxa"/>
            <w:shd w:val="clear" w:color="auto" w:fill="auto"/>
          </w:tcPr>
          <w:p w:rsidR="0065019B" w:rsidRDefault="005910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5 a 10 melhores produtos por quadriênio, independentemente do tipo de produto</w:t>
            </w:r>
          </w:p>
          <w:p w:rsidR="0065019B" w:rsidRDefault="006501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241" w:type="dxa"/>
            <w:shd w:val="clear" w:color="auto" w:fill="F2F2F2" w:themeFill="background1" w:themeFillShade="F2"/>
          </w:tcPr>
          <w:p w:rsidR="0065019B" w:rsidRDefault="005910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pt-BR"/>
              </w:rPr>
              <w:t>Nossa área pede 10 produtos, a serem avaliados de forma qualitativa em termo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pt-BR"/>
              </w:rPr>
              <w:t>s de seu impacto no estado da arte das linhas de pesquisa e áreas de concentração do programa. </w:t>
            </w:r>
          </w:p>
          <w:p w:rsidR="0065019B" w:rsidRDefault="006501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  <w:lang w:val="pt-BR"/>
              </w:rPr>
            </w:pPr>
          </w:p>
        </w:tc>
      </w:tr>
      <w:tr w:rsidR="0065019B" w:rsidRPr="00673765" w:rsidTr="00650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</w:tcPr>
          <w:p w:rsidR="0065019B" w:rsidRDefault="00591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Egressos</w:t>
            </w:r>
          </w:p>
        </w:tc>
        <w:tc>
          <w:tcPr>
            <w:tcW w:w="3398" w:type="dxa"/>
            <w:shd w:val="clear" w:color="auto" w:fill="auto"/>
          </w:tcPr>
          <w:p w:rsidR="0065019B" w:rsidRDefault="005910C2">
            <w:pPr>
              <w:numPr>
                <w:ilvl w:val="0"/>
                <w:numId w:val="2"/>
              </w:numPr>
              <w:tabs>
                <w:tab w:val="left" w:pos="281"/>
              </w:tabs>
              <w:spacing w:after="0" w:line="240" w:lineRule="auto"/>
              <w:ind w:left="281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Até 5 casos exitosos por período (máx. 15). A área define quais períodos</w:t>
            </w:r>
          </w:p>
          <w:p w:rsidR="0065019B" w:rsidRDefault="005910C2">
            <w:pPr>
              <w:numPr>
                <w:ilvl w:val="0"/>
                <w:numId w:val="3"/>
              </w:numPr>
              <w:tabs>
                <w:tab w:val="left" w:pos="329"/>
              </w:tabs>
              <w:spacing w:after="0" w:line="240" w:lineRule="auto"/>
              <w:ind w:left="32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1º período: até 5 anos de titulação</w:t>
            </w:r>
          </w:p>
          <w:p w:rsidR="0065019B" w:rsidRDefault="005910C2">
            <w:pPr>
              <w:numPr>
                <w:ilvl w:val="0"/>
                <w:numId w:val="3"/>
              </w:numPr>
              <w:tabs>
                <w:tab w:val="left" w:pos="329"/>
              </w:tabs>
              <w:spacing w:after="0" w:line="240" w:lineRule="auto"/>
              <w:ind w:left="32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 xml:space="preserve">2º período: de 5 a 10 anos pós 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titulação</w:t>
            </w:r>
          </w:p>
          <w:p w:rsidR="0065019B" w:rsidRDefault="005910C2">
            <w:pPr>
              <w:numPr>
                <w:ilvl w:val="0"/>
                <w:numId w:val="3"/>
              </w:numPr>
              <w:tabs>
                <w:tab w:val="left" w:pos="329"/>
              </w:tabs>
              <w:spacing w:after="0" w:line="240" w:lineRule="auto"/>
              <w:ind w:left="32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3º período: de 10 a 15 anos pós titulação</w:t>
            </w:r>
          </w:p>
          <w:p w:rsidR="0065019B" w:rsidRDefault="006501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241" w:type="dxa"/>
            <w:shd w:val="clear" w:color="auto" w:fill="F2F2F2" w:themeFill="background1" w:themeFillShade="F2"/>
          </w:tcPr>
          <w:p w:rsidR="0065019B" w:rsidRDefault="0067376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  <w:lastRenderedPageBreak/>
              <w:t xml:space="preserve">Os programas deverão listar os até 15 egressos (até 5 por período) no </w:t>
            </w:r>
            <w:r w:rsidRPr="0067376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lang w:val="pt-BR"/>
              </w:rPr>
              <w:t>Anexo 2.3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lang w:val="pt-BR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  <w:t xml:space="preserve"> Esta lista será avaliada</w:t>
            </w:r>
            <w:r w:rsidR="005910C2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  <w:t xml:space="preserve"> qualitativamente</w:t>
            </w:r>
            <w:r w:rsidR="005910C2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  <w:t xml:space="preserve"> de acordo com os seguintes critérios: </w:t>
            </w:r>
            <w:r w:rsidR="005910C2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pt-BR"/>
              </w:rPr>
              <w:br/>
            </w:r>
          </w:p>
          <w:p w:rsidR="0065019B" w:rsidRDefault="005910C2">
            <w:pPr>
              <w:pStyle w:val="NormalWeb"/>
              <w:numPr>
                <w:ilvl w:val="0"/>
                <w:numId w:val="4"/>
              </w:numPr>
              <w:spacing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destaques da produção técnica e intelectual;</w:t>
            </w:r>
          </w:p>
          <w:p w:rsidR="0065019B" w:rsidRDefault="005910C2">
            <w:pPr>
              <w:pStyle w:val="NormalWeb"/>
              <w:numPr>
                <w:ilvl w:val="0"/>
                <w:numId w:val="4"/>
              </w:numPr>
              <w:spacing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distinções profissionais, como convites para </w:t>
            </w:r>
            <w:r>
              <w:rPr>
                <w:color w:val="000000" w:themeColor="text1"/>
                <w:sz w:val="18"/>
                <w:szCs w:val="18"/>
              </w:rPr>
              <w:t>palestras em eventos, prêmios e bolsas nacionais e internacionais;</w:t>
            </w:r>
          </w:p>
          <w:p w:rsidR="0065019B" w:rsidRDefault="005910C2">
            <w:pPr>
              <w:pStyle w:val="NormalWeb"/>
              <w:numPr>
                <w:ilvl w:val="0"/>
                <w:numId w:val="4"/>
              </w:numPr>
              <w:spacing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interface com a sociedade e atuação destacada com o mundo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não-acadêmico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65019B" w:rsidRDefault="005910C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  <w:lang w:val="pt-BR"/>
              </w:rPr>
              <w:br/>
            </w:r>
          </w:p>
        </w:tc>
      </w:tr>
    </w:tbl>
    <w:p w:rsidR="0065019B" w:rsidRPr="00673765" w:rsidRDefault="0065019B">
      <w:pPr>
        <w:rPr>
          <w:lang w:val="pt-BR"/>
        </w:rPr>
      </w:pPr>
    </w:p>
    <w:sectPr w:rsidR="0065019B" w:rsidRPr="0067376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10C2" w:rsidRDefault="005910C2">
      <w:pPr>
        <w:spacing w:after="0" w:line="240" w:lineRule="auto"/>
      </w:pPr>
      <w:r>
        <w:separator/>
      </w:r>
    </w:p>
  </w:endnote>
  <w:endnote w:type="continuationSeparator" w:id="0">
    <w:p w:rsidR="005910C2" w:rsidRDefault="0059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019B" w:rsidRDefault="006501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10C2" w:rsidRDefault="005910C2">
      <w:pPr>
        <w:spacing w:after="0" w:line="240" w:lineRule="auto"/>
      </w:pPr>
      <w:r>
        <w:separator/>
      </w:r>
    </w:p>
  </w:footnote>
  <w:footnote w:type="continuationSeparator" w:id="0">
    <w:p w:rsidR="005910C2" w:rsidRDefault="00591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072" w:type="dxa"/>
      <w:tblInd w:w="-572" w:type="dxa"/>
      <w:tblLook w:val="04A0" w:firstRow="1" w:lastRow="0" w:firstColumn="1" w:lastColumn="0" w:noHBand="0" w:noVBand="1"/>
    </w:tblPr>
    <w:tblGrid>
      <w:gridCol w:w="1412"/>
      <w:gridCol w:w="7660"/>
    </w:tblGrid>
    <w:tr w:rsidR="0065019B" w:rsidRPr="00673765">
      <w:tc>
        <w:tcPr>
          <w:tcW w:w="14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5019B" w:rsidRDefault="005910C2">
          <w:pPr>
            <w:pStyle w:val="Cabealho"/>
            <w:rPr>
              <w:lang w:val="pt-BR"/>
            </w:rPr>
          </w:pPr>
          <w:r>
            <w:rPr>
              <w:noProof/>
            </w:rPr>
            <w:drawing>
              <wp:inline distT="0" distB="6350" distL="0" distR="0">
                <wp:extent cx="386715" cy="3556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6715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5019B" w:rsidRPr="00673765" w:rsidRDefault="005910C2">
          <w:pPr>
            <w:pStyle w:val="Cabealho"/>
            <w:jc w:val="center"/>
            <w:rPr>
              <w:lang w:val="pt-BR"/>
            </w:rPr>
          </w:pPr>
          <w:r>
            <w:rPr>
              <w:lang w:val="pt-BR"/>
            </w:rPr>
            <w:t xml:space="preserve">Anexo da Ficha de Avaliação da área </w:t>
          </w:r>
          <w:r>
            <w:rPr>
              <w:color w:val="FF0000"/>
              <w:highlight w:val="lightGray"/>
              <w:lang w:val="pt-BR"/>
            </w:rPr>
            <w:t>MAPE</w:t>
          </w:r>
        </w:p>
        <w:p w:rsidR="0065019B" w:rsidRDefault="005910C2">
          <w:pPr>
            <w:pStyle w:val="Cabealho"/>
            <w:jc w:val="center"/>
            <w:rPr>
              <w:lang w:val="pt-BR"/>
            </w:rPr>
          </w:pPr>
          <w:r>
            <w:rPr>
              <w:lang w:val="pt-BR"/>
            </w:rPr>
            <w:t xml:space="preserve">Orientações quanto ao registro de </w:t>
          </w:r>
          <w:r>
            <w:rPr>
              <w:lang w:val="pt-BR"/>
            </w:rPr>
            <w:t>resultados e produções intelectuais</w:t>
          </w:r>
        </w:p>
      </w:tc>
    </w:tr>
  </w:tbl>
  <w:p w:rsidR="0065019B" w:rsidRDefault="005910C2">
    <w:pPr>
      <w:pStyle w:val="Cabealho"/>
      <w:rPr>
        <w:lang w:val="pt-BR"/>
      </w:rPr>
    </w:pPr>
    <w:r>
      <w:rPr>
        <w:lang w:val="pt-BR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40C98"/>
    <w:multiLevelType w:val="multilevel"/>
    <w:tmpl w:val="C7DE0F3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 w15:restartNumberingAfterBreak="0">
    <w:nsid w:val="46851843"/>
    <w:multiLevelType w:val="multilevel"/>
    <w:tmpl w:val="EEBE6E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362371B"/>
    <w:multiLevelType w:val="multilevel"/>
    <w:tmpl w:val="9BEAC8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5A80D87"/>
    <w:multiLevelType w:val="multilevel"/>
    <w:tmpl w:val="6156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7B6A5CC3"/>
    <w:multiLevelType w:val="multilevel"/>
    <w:tmpl w:val="D6BC7D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19B"/>
    <w:rsid w:val="005910C2"/>
    <w:rsid w:val="0065019B"/>
    <w:rsid w:val="00673765"/>
    <w:rsid w:val="00B57988"/>
    <w:rsid w:val="00C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F31F4B"/>
  <w15:docId w15:val="{C6421492-D740-7641-8E96-82A82128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F4B1F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F4B1F"/>
  </w:style>
  <w:style w:type="character" w:customStyle="1" w:styleId="RodapChar">
    <w:name w:val="Rodapé Char"/>
    <w:basedOn w:val="Fontepargpadro"/>
    <w:link w:val="Rodap"/>
    <w:uiPriority w:val="99"/>
    <w:qFormat/>
    <w:rsid w:val="006F4B1F"/>
  </w:style>
  <w:style w:type="character" w:customStyle="1" w:styleId="ListLabel1">
    <w:name w:val="ListLabel 1"/>
    <w:qFormat/>
    <w:rPr>
      <w:sz w:val="18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F4B1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F4B1F"/>
    <w:pPr>
      <w:tabs>
        <w:tab w:val="center" w:pos="4419"/>
        <w:tab w:val="right" w:pos="8838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F4B1F"/>
    <w:pPr>
      <w:tabs>
        <w:tab w:val="center" w:pos="4419"/>
        <w:tab w:val="right" w:pos="8838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C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DF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">
    <w:name w:val="Grid Table 1 Light"/>
    <w:basedOn w:val="Tabelanormal"/>
    <w:uiPriority w:val="46"/>
    <w:rsid w:val="0006362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3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dc:description/>
  <cp:lastModifiedBy>Roberto Imbuzeiro Oliveira</cp:lastModifiedBy>
  <cp:revision>2</cp:revision>
  <dcterms:created xsi:type="dcterms:W3CDTF">2020-07-20T20:11:00Z</dcterms:created>
  <dcterms:modified xsi:type="dcterms:W3CDTF">2020-07-20T20:11:00Z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